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26267" w14:textId="755B09E1" w:rsidR="00EA3D98" w:rsidRPr="00EF5BBE" w:rsidRDefault="00F57C35" w:rsidP="00A02713">
      <w:pPr>
        <w:spacing w:after="0"/>
        <w:rPr>
          <w:rFonts w:ascii="Verdana" w:hAnsi="Verdana"/>
          <w:b/>
          <w:sz w:val="20"/>
          <w:szCs w:val="20"/>
          <w:u w:val="single"/>
        </w:rPr>
      </w:pPr>
      <w:r w:rsidRPr="00EF5BBE">
        <w:rPr>
          <w:rFonts w:ascii="Verdana" w:hAnsi="Verdana"/>
          <w:b/>
          <w:sz w:val="20"/>
          <w:szCs w:val="20"/>
          <w:u w:val="single"/>
        </w:rPr>
        <w:t>EZ-IO</w:t>
      </w:r>
      <w:r w:rsidRPr="00EF5BBE">
        <w:rPr>
          <w:rFonts w:ascii="Verdana" w:hAnsi="Verdana" w:cs="Times New Roman"/>
          <w:b/>
          <w:sz w:val="20"/>
          <w:szCs w:val="20"/>
          <w:u w:val="single"/>
          <w:vertAlign w:val="superscript"/>
        </w:rPr>
        <w:t xml:space="preserve">® </w:t>
      </w:r>
      <w:r w:rsidR="00A50F50" w:rsidRPr="00EF5BBE">
        <w:rPr>
          <w:rFonts w:ascii="Verdana" w:hAnsi="Verdana"/>
          <w:b/>
          <w:sz w:val="20"/>
          <w:szCs w:val="20"/>
          <w:u w:val="single"/>
        </w:rPr>
        <w:t>Distal Tibia Insertion Site Identification</w:t>
      </w:r>
      <w:r w:rsidRPr="00EF5BBE">
        <w:rPr>
          <w:rFonts w:ascii="Verdana" w:hAnsi="Verdana"/>
          <w:b/>
          <w:sz w:val="20"/>
          <w:szCs w:val="20"/>
          <w:u w:val="single"/>
        </w:rPr>
        <w:t xml:space="preserve"> - Adult</w:t>
      </w:r>
    </w:p>
    <w:p w14:paraId="70590C76" w14:textId="4573F447" w:rsidR="00A50F50" w:rsidRDefault="00A50F50" w:rsidP="00A02713">
      <w:pPr>
        <w:spacing w:after="0"/>
        <w:rPr>
          <w:rFonts w:ascii="Verdana" w:eastAsia="MS PGothic" w:hAnsi="Verdana" w:cs="Times New Roman"/>
          <w:color w:val="000000"/>
          <w:kern w:val="24"/>
          <w:sz w:val="20"/>
          <w:szCs w:val="20"/>
        </w:rPr>
      </w:pPr>
      <w:r w:rsidRPr="00EF5BBE">
        <w:rPr>
          <w:rFonts w:ascii="Verdana" w:eastAsia="MS PGothic" w:hAnsi="Verdana" w:cs="Times New Roman"/>
          <w:color w:val="000000"/>
          <w:kern w:val="24"/>
          <w:sz w:val="20"/>
          <w:szCs w:val="20"/>
        </w:rPr>
        <w:t xml:space="preserve">Insertion site is located approximately </w:t>
      </w:r>
      <w:r w:rsidR="0035563B" w:rsidRPr="00EF5BBE">
        <w:rPr>
          <w:rFonts w:ascii="Verdana" w:eastAsia="MS PGothic" w:hAnsi="Verdana" w:cs="Times New Roman"/>
          <w:color w:val="000000"/>
          <w:kern w:val="24"/>
          <w:sz w:val="20"/>
          <w:szCs w:val="20"/>
        </w:rPr>
        <w:t>3</w:t>
      </w:r>
      <w:r w:rsidR="00342523" w:rsidRPr="00EF5BBE">
        <w:rPr>
          <w:rFonts w:ascii="Verdana" w:eastAsia="MS PGothic" w:hAnsi="Verdana" w:cs="Times New Roman"/>
          <w:color w:val="000000"/>
          <w:kern w:val="24"/>
          <w:sz w:val="20"/>
          <w:szCs w:val="20"/>
        </w:rPr>
        <w:t>cm (</w:t>
      </w:r>
      <w:r w:rsidR="00386678" w:rsidRPr="00EF5BBE">
        <w:rPr>
          <w:rFonts w:ascii="Verdana" w:eastAsia="MS PGothic" w:hAnsi="Verdana" w:cs="Times New Roman"/>
          <w:color w:val="000000"/>
          <w:kern w:val="24"/>
          <w:sz w:val="20"/>
          <w:szCs w:val="20"/>
        </w:rPr>
        <w:t>2 finger wi</w:t>
      </w:r>
      <w:r w:rsidR="005956E4" w:rsidRPr="00EF5BBE">
        <w:rPr>
          <w:rFonts w:ascii="Verdana" w:eastAsia="MS PGothic" w:hAnsi="Verdana" w:cs="Times New Roman"/>
          <w:color w:val="000000"/>
          <w:kern w:val="24"/>
          <w:sz w:val="20"/>
          <w:szCs w:val="20"/>
        </w:rPr>
        <w:t>d</w:t>
      </w:r>
      <w:r w:rsidR="009A0349" w:rsidRPr="00EF5BBE">
        <w:rPr>
          <w:rFonts w:ascii="Verdana" w:eastAsia="MS PGothic" w:hAnsi="Verdana" w:cs="Times New Roman"/>
          <w:color w:val="000000"/>
          <w:kern w:val="24"/>
          <w:sz w:val="20"/>
          <w:szCs w:val="20"/>
        </w:rPr>
        <w:t>ths)</w:t>
      </w:r>
      <w:r w:rsidRPr="00EF5BBE">
        <w:rPr>
          <w:rFonts w:ascii="Verdana" w:eastAsia="MS PGothic" w:hAnsi="Verdana" w:cs="Times New Roman"/>
          <w:color w:val="000000"/>
          <w:kern w:val="24"/>
          <w:sz w:val="20"/>
          <w:szCs w:val="20"/>
        </w:rPr>
        <w:t xml:space="preserve"> proximal to the most </w:t>
      </w:r>
      <w:r w:rsidR="00EE66B4" w:rsidRPr="00EF5BBE">
        <w:rPr>
          <w:rFonts w:ascii="Verdana" w:eastAsia="MS PGothic" w:hAnsi="Verdana" w:cs="Times New Roman"/>
          <w:color w:val="000000"/>
          <w:kern w:val="24"/>
          <w:sz w:val="20"/>
          <w:szCs w:val="20"/>
        </w:rPr>
        <w:t>prominent</w:t>
      </w:r>
      <w:r w:rsidR="0035563B" w:rsidRPr="00EF5BBE">
        <w:rPr>
          <w:rFonts w:ascii="Verdana" w:eastAsia="MS PGothic" w:hAnsi="Verdana" w:cs="Times New Roman"/>
          <w:color w:val="000000"/>
          <w:kern w:val="24"/>
          <w:sz w:val="20"/>
          <w:szCs w:val="20"/>
        </w:rPr>
        <w:t xml:space="preserve"> aspect of the medial malleolus.  </w:t>
      </w:r>
      <w:r w:rsidRPr="00EF5BBE">
        <w:rPr>
          <w:rFonts w:ascii="Verdana" w:eastAsia="MS PGothic" w:hAnsi="Verdana" w:cs="Times New Roman"/>
          <w:color w:val="000000"/>
          <w:kern w:val="24"/>
          <w:sz w:val="20"/>
          <w:szCs w:val="20"/>
        </w:rPr>
        <w:t xml:space="preserve">Palpate the anterior and posterior borders of the tibia to assure that your insertion site is on the flat center aspect of the bone.  </w:t>
      </w:r>
    </w:p>
    <w:p w14:paraId="58B690E9" w14:textId="77777777" w:rsidR="00A02713" w:rsidRPr="00EF5BBE" w:rsidRDefault="00A02713" w:rsidP="00A02713">
      <w:pPr>
        <w:spacing w:after="0"/>
        <w:rPr>
          <w:rFonts w:ascii="Verdana" w:eastAsia="Calibri" w:hAnsi="Verdana" w:cs="Times New Roman"/>
          <w:bCs/>
          <w:sz w:val="20"/>
          <w:szCs w:val="20"/>
        </w:rPr>
      </w:pPr>
    </w:p>
    <w:p w14:paraId="2BCFF02F" w14:textId="75491E39" w:rsidR="00891C27" w:rsidRPr="00EF5BBE" w:rsidRDefault="00F57C35" w:rsidP="00EF5BBE">
      <w:pPr>
        <w:spacing w:after="0"/>
        <w:rPr>
          <w:rFonts w:ascii="Verdana" w:hAnsi="Verdana"/>
          <w:b/>
          <w:sz w:val="20"/>
          <w:szCs w:val="20"/>
          <w:u w:val="single"/>
        </w:rPr>
      </w:pPr>
      <w:r w:rsidRPr="00EF5BBE">
        <w:rPr>
          <w:rFonts w:ascii="Verdana" w:hAnsi="Verdana"/>
          <w:b/>
          <w:sz w:val="20"/>
          <w:szCs w:val="20"/>
          <w:u w:val="single"/>
        </w:rPr>
        <w:t>EZ-IO</w:t>
      </w:r>
      <w:r w:rsidRPr="00EF5BBE">
        <w:rPr>
          <w:rFonts w:ascii="Verdana" w:hAnsi="Verdana" w:cs="Times New Roman"/>
          <w:b/>
          <w:sz w:val="20"/>
          <w:szCs w:val="20"/>
          <w:u w:val="single"/>
          <w:vertAlign w:val="superscript"/>
        </w:rPr>
        <w:t>®</w:t>
      </w:r>
      <w:r w:rsidRPr="00EF5BBE">
        <w:rPr>
          <w:rFonts w:ascii="Verdana" w:hAnsi="Verdana"/>
          <w:b/>
          <w:sz w:val="20"/>
          <w:szCs w:val="20"/>
          <w:u w:val="single"/>
        </w:rPr>
        <w:t xml:space="preserve"> Distal Tibia </w:t>
      </w:r>
      <w:r w:rsidR="00891C27" w:rsidRPr="00EF5BBE">
        <w:rPr>
          <w:rFonts w:ascii="Verdana" w:hAnsi="Verdana"/>
          <w:b/>
          <w:sz w:val="20"/>
          <w:szCs w:val="20"/>
          <w:u w:val="single"/>
        </w:rPr>
        <w:t>Insertion</w:t>
      </w:r>
      <w:r w:rsidRPr="00EF5BBE">
        <w:rPr>
          <w:rFonts w:ascii="Verdana" w:hAnsi="Verdana"/>
          <w:b/>
          <w:sz w:val="20"/>
          <w:szCs w:val="20"/>
          <w:u w:val="single"/>
        </w:rPr>
        <w:t xml:space="preserve"> Technique – Adult</w:t>
      </w:r>
    </w:p>
    <w:p w14:paraId="633DFB10" w14:textId="77777777" w:rsidR="00891C27" w:rsidRPr="00EF5BBE" w:rsidRDefault="00891C27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Prepare the site by using antiseptic of your choice</w:t>
      </w:r>
    </w:p>
    <w:p w14:paraId="5BD5734C" w14:textId="77777777" w:rsidR="00891C27" w:rsidRPr="00EF5BBE" w:rsidRDefault="00891C27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Use a clean, “no touch” technique</w:t>
      </w:r>
    </w:p>
    <w:p w14:paraId="26B50653" w14:textId="041D4CF5" w:rsidR="00891C27" w:rsidRPr="00EF5BBE" w:rsidRDefault="00F01BF5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Remove the n</w:t>
      </w:r>
      <w:r w:rsidR="00891C27" w:rsidRPr="00EF5BBE">
        <w:rPr>
          <w:rFonts w:ascii="Verdana" w:hAnsi="Verdana"/>
          <w:sz w:val="20"/>
          <w:szCs w:val="20"/>
        </w:rPr>
        <w:t>eedle</w:t>
      </w:r>
      <w:r w:rsidRPr="00EF5BBE">
        <w:rPr>
          <w:rFonts w:ascii="Verdana" w:hAnsi="Verdana"/>
          <w:sz w:val="20"/>
          <w:szCs w:val="20"/>
        </w:rPr>
        <w:t xml:space="preserve"> s</w:t>
      </w:r>
      <w:r w:rsidR="000404A9" w:rsidRPr="00EF5BBE">
        <w:rPr>
          <w:rFonts w:ascii="Verdana" w:hAnsi="Verdana"/>
          <w:sz w:val="20"/>
          <w:szCs w:val="20"/>
        </w:rPr>
        <w:t>et</w:t>
      </w:r>
      <w:r w:rsidR="00891C27" w:rsidRPr="00EF5BBE">
        <w:rPr>
          <w:rFonts w:ascii="Verdana" w:hAnsi="Verdana"/>
          <w:sz w:val="20"/>
          <w:szCs w:val="20"/>
        </w:rPr>
        <w:t xml:space="preserve"> cap </w:t>
      </w:r>
    </w:p>
    <w:p w14:paraId="6BD3B10A" w14:textId="333BBAA1" w:rsidR="00636F60" w:rsidRPr="00EF5BBE" w:rsidRDefault="00636F60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Stabilize extremity</w:t>
      </w:r>
    </w:p>
    <w:p w14:paraId="09C05E38" w14:textId="0470C147" w:rsidR="00891C27" w:rsidRPr="00EF5BBE" w:rsidRDefault="00F01BF5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Aim the n</w:t>
      </w:r>
      <w:r w:rsidR="00891C27" w:rsidRPr="00EF5BBE">
        <w:rPr>
          <w:rFonts w:ascii="Verdana" w:hAnsi="Verdana"/>
          <w:sz w:val="20"/>
          <w:szCs w:val="20"/>
        </w:rPr>
        <w:t xml:space="preserve">eedle </w:t>
      </w:r>
      <w:r w:rsidRPr="00EF5BBE">
        <w:rPr>
          <w:rFonts w:ascii="Verdana" w:hAnsi="Verdana"/>
          <w:sz w:val="20"/>
          <w:szCs w:val="20"/>
        </w:rPr>
        <w:t>s</w:t>
      </w:r>
      <w:r w:rsidR="000404A9" w:rsidRPr="00EF5BBE">
        <w:rPr>
          <w:rFonts w:ascii="Verdana" w:hAnsi="Verdana"/>
          <w:sz w:val="20"/>
          <w:szCs w:val="20"/>
        </w:rPr>
        <w:t xml:space="preserve">et </w:t>
      </w:r>
      <w:r w:rsidR="00891C27" w:rsidRPr="00EF5BBE">
        <w:rPr>
          <w:rFonts w:ascii="Verdana" w:hAnsi="Verdana"/>
          <w:sz w:val="20"/>
          <w:szCs w:val="20"/>
        </w:rPr>
        <w:t>at a 90-degree angle to center of the bone</w:t>
      </w:r>
    </w:p>
    <w:p w14:paraId="33EB496F" w14:textId="4C2DDF40" w:rsidR="00891C27" w:rsidRPr="00EF5BBE" w:rsidRDefault="00F01BF5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Push the n</w:t>
      </w:r>
      <w:r w:rsidR="00891C27" w:rsidRPr="00EF5BBE">
        <w:rPr>
          <w:rFonts w:ascii="Verdana" w:hAnsi="Verdana"/>
          <w:sz w:val="20"/>
          <w:szCs w:val="20"/>
        </w:rPr>
        <w:t xml:space="preserve">eedle </w:t>
      </w:r>
      <w:r w:rsidRPr="00EF5BBE">
        <w:rPr>
          <w:rFonts w:ascii="Verdana" w:hAnsi="Verdana"/>
          <w:sz w:val="20"/>
          <w:szCs w:val="20"/>
        </w:rPr>
        <w:t>s</w:t>
      </w:r>
      <w:r w:rsidR="000404A9" w:rsidRPr="00EF5BBE">
        <w:rPr>
          <w:rFonts w:ascii="Verdana" w:hAnsi="Verdana"/>
          <w:sz w:val="20"/>
          <w:szCs w:val="20"/>
        </w:rPr>
        <w:t xml:space="preserve">et </w:t>
      </w:r>
      <w:r w:rsidR="00891C27" w:rsidRPr="00EF5BBE">
        <w:rPr>
          <w:rFonts w:ascii="Verdana" w:hAnsi="Verdana"/>
          <w:sz w:val="20"/>
          <w:szCs w:val="20"/>
        </w:rPr>
        <w:t>tip through the skin until the tip rests against the bone</w:t>
      </w:r>
    </w:p>
    <w:p w14:paraId="646CFEEA" w14:textId="445EF003" w:rsidR="00891C27" w:rsidRPr="00EF5BBE" w:rsidRDefault="00891C27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The 5mm mark must be visible above the skin for confirmation of adeq</w:t>
      </w:r>
      <w:r w:rsidR="00F01BF5" w:rsidRPr="00EF5BBE">
        <w:rPr>
          <w:rFonts w:ascii="Verdana" w:hAnsi="Verdana"/>
          <w:sz w:val="20"/>
          <w:szCs w:val="20"/>
        </w:rPr>
        <w:t>uate n</w:t>
      </w:r>
      <w:r w:rsidRPr="00EF5BBE">
        <w:rPr>
          <w:rFonts w:ascii="Verdana" w:hAnsi="Verdana"/>
          <w:sz w:val="20"/>
          <w:szCs w:val="20"/>
        </w:rPr>
        <w:t>eedle</w:t>
      </w:r>
      <w:r w:rsidR="00F01BF5" w:rsidRPr="00EF5BBE">
        <w:rPr>
          <w:rFonts w:ascii="Verdana" w:hAnsi="Verdana"/>
          <w:sz w:val="20"/>
          <w:szCs w:val="20"/>
        </w:rPr>
        <w:t xml:space="preserve"> s</w:t>
      </w:r>
      <w:r w:rsidR="000404A9" w:rsidRPr="00EF5BBE">
        <w:rPr>
          <w:rFonts w:ascii="Verdana" w:hAnsi="Verdana"/>
          <w:sz w:val="20"/>
          <w:szCs w:val="20"/>
        </w:rPr>
        <w:t>et</w:t>
      </w:r>
      <w:r w:rsidRPr="00EF5BBE">
        <w:rPr>
          <w:rFonts w:ascii="Verdana" w:hAnsi="Verdana"/>
          <w:sz w:val="20"/>
          <w:szCs w:val="20"/>
        </w:rPr>
        <w:t xml:space="preserve"> length </w:t>
      </w:r>
    </w:p>
    <w:p w14:paraId="5070AF8D" w14:textId="772DDA87" w:rsidR="0035563B" w:rsidRPr="00EF5BBE" w:rsidRDefault="0035563B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Gent</w:t>
      </w:r>
      <w:r w:rsidR="00F01BF5" w:rsidRPr="00EF5BBE">
        <w:rPr>
          <w:rFonts w:ascii="Verdana" w:hAnsi="Verdana"/>
          <w:sz w:val="20"/>
          <w:szCs w:val="20"/>
        </w:rPr>
        <w:t>ly drill, advancing the needle s</w:t>
      </w:r>
      <w:r w:rsidRPr="00EF5BBE">
        <w:rPr>
          <w:rFonts w:ascii="Verdana" w:hAnsi="Verdana"/>
          <w:sz w:val="20"/>
          <w:szCs w:val="20"/>
        </w:rPr>
        <w:t>et approximately 1</w:t>
      </w:r>
      <w:r w:rsidR="00586EE3" w:rsidRPr="00EF5BBE">
        <w:rPr>
          <w:rFonts w:ascii="Verdana" w:hAnsi="Verdana"/>
          <w:sz w:val="20"/>
          <w:szCs w:val="20"/>
        </w:rPr>
        <w:t>-2</w:t>
      </w:r>
      <w:r w:rsidRPr="00EF5BBE">
        <w:rPr>
          <w:rFonts w:ascii="Verdana" w:hAnsi="Verdana"/>
          <w:sz w:val="20"/>
          <w:szCs w:val="20"/>
        </w:rPr>
        <w:t>cm after entry into th</w:t>
      </w:r>
      <w:r w:rsidR="00F01BF5" w:rsidRPr="00EF5BBE">
        <w:rPr>
          <w:rFonts w:ascii="Verdana" w:hAnsi="Verdana"/>
          <w:sz w:val="20"/>
          <w:szCs w:val="20"/>
        </w:rPr>
        <w:t>e medullary space or until the n</w:t>
      </w:r>
      <w:r w:rsidRPr="00EF5BBE">
        <w:rPr>
          <w:rFonts w:ascii="Verdana" w:hAnsi="Verdana"/>
          <w:sz w:val="20"/>
          <w:szCs w:val="20"/>
        </w:rPr>
        <w:t xml:space="preserve">eedle </w:t>
      </w:r>
      <w:r w:rsidR="00F01BF5" w:rsidRPr="00EF5BBE">
        <w:rPr>
          <w:rFonts w:ascii="Verdana" w:hAnsi="Verdana"/>
          <w:sz w:val="20"/>
          <w:szCs w:val="20"/>
        </w:rPr>
        <w:t>s</w:t>
      </w:r>
      <w:r w:rsidR="000404A9" w:rsidRPr="00EF5BBE">
        <w:rPr>
          <w:rFonts w:ascii="Verdana" w:hAnsi="Verdana"/>
          <w:sz w:val="20"/>
          <w:szCs w:val="20"/>
        </w:rPr>
        <w:t xml:space="preserve">et </w:t>
      </w:r>
      <w:r w:rsidRPr="00EF5BBE">
        <w:rPr>
          <w:rFonts w:ascii="Verdana" w:hAnsi="Verdana"/>
          <w:sz w:val="20"/>
          <w:szCs w:val="20"/>
        </w:rPr>
        <w:t>hub is close to the skin</w:t>
      </w:r>
    </w:p>
    <w:p w14:paraId="6D5C1021" w14:textId="77777777" w:rsidR="00891C27" w:rsidRPr="00EF5BBE" w:rsidRDefault="00891C27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 xml:space="preserve">Hold the hub in place and pull the driver straight off </w:t>
      </w:r>
    </w:p>
    <w:p w14:paraId="7FE3AB55" w14:textId="77777777" w:rsidR="00891C27" w:rsidRPr="00EF5BBE" w:rsidRDefault="00891C27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 xml:space="preserve">Continue to hold the hub while twisting the stylet off the hub with counter clockwise rotations </w:t>
      </w:r>
    </w:p>
    <w:p w14:paraId="5C30EB11" w14:textId="58FB5723" w:rsidR="00891C27" w:rsidRPr="00EF5BBE" w:rsidRDefault="000404A9" w:rsidP="00EF5BBE">
      <w:pPr>
        <w:numPr>
          <w:ilvl w:val="1"/>
          <w:numId w:val="1"/>
        </w:numPr>
        <w:spacing w:after="0" w:line="240" w:lineRule="auto"/>
        <w:ind w:left="108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The catheter</w:t>
      </w:r>
      <w:r w:rsidR="00891C27" w:rsidRPr="00EF5BBE">
        <w:rPr>
          <w:rFonts w:ascii="Verdana" w:hAnsi="Verdana"/>
          <w:sz w:val="20"/>
          <w:szCs w:val="20"/>
        </w:rPr>
        <w:t xml:space="preserve"> should feel firmly seated in the bone (1</w:t>
      </w:r>
      <w:r w:rsidR="00891C27" w:rsidRPr="00EF5BBE">
        <w:rPr>
          <w:rFonts w:ascii="Verdana" w:hAnsi="Verdana"/>
          <w:sz w:val="20"/>
          <w:szCs w:val="20"/>
          <w:vertAlign w:val="superscript"/>
        </w:rPr>
        <w:t>st</w:t>
      </w:r>
      <w:r w:rsidR="00891C27" w:rsidRPr="00EF5BBE">
        <w:rPr>
          <w:rFonts w:ascii="Verdana" w:hAnsi="Verdana"/>
          <w:sz w:val="20"/>
          <w:szCs w:val="20"/>
        </w:rPr>
        <w:t xml:space="preserve"> confirmation of placement)</w:t>
      </w:r>
    </w:p>
    <w:p w14:paraId="5BB6C982" w14:textId="77777777" w:rsidR="00891C27" w:rsidRPr="00EF5BBE" w:rsidRDefault="00891C27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Place the stylet in a sharps container</w:t>
      </w:r>
    </w:p>
    <w:p w14:paraId="0E5D745E" w14:textId="710DF6F9" w:rsidR="00891C27" w:rsidRPr="00EF5BBE" w:rsidRDefault="00891C27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Place the EZ-</w:t>
      </w:r>
      <w:proofErr w:type="spellStart"/>
      <w:r w:rsidRPr="00EF5BBE">
        <w:rPr>
          <w:rFonts w:ascii="Verdana" w:hAnsi="Verdana"/>
          <w:sz w:val="20"/>
          <w:szCs w:val="20"/>
        </w:rPr>
        <w:t>Stabilizer</w:t>
      </w:r>
      <w:r w:rsidR="000404A9" w:rsidRPr="00884A48">
        <w:rPr>
          <w:rFonts w:ascii="Verdana" w:hAnsi="Verdana"/>
          <w:sz w:val="16"/>
          <w:szCs w:val="16"/>
          <w:vertAlign w:val="superscript"/>
        </w:rPr>
        <w:t>TM</w:t>
      </w:r>
      <w:proofErr w:type="spellEnd"/>
      <w:r w:rsidRPr="00EF5BBE">
        <w:rPr>
          <w:rFonts w:ascii="Verdana" w:hAnsi="Verdana"/>
          <w:sz w:val="20"/>
          <w:szCs w:val="20"/>
        </w:rPr>
        <w:t xml:space="preserve"> dressing over the hub </w:t>
      </w:r>
    </w:p>
    <w:p w14:paraId="32460275" w14:textId="55F2490A" w:rsidR="00891C27" w:rsidRPr="00EF5BBE" w:rsidRDefault="00891C27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 xml:space="preserve">Attach a </w:t>
      </w:r>
      <w:r w:rsidRPr="00EF5BBE">
        <w:rPr>
          <w:rFonts w:ascii="Verdana" w:hAnsi="Verdana"/>
          <w:sz w:val="20"/>
          <w:szCs w:val="20"/>
          <w:u w:val="single"/>
        </w:rPr>
        <w:t>primed</w:t>
      </w:r>
      <w:r w:rsidRPr="00EF5BBE">
        <w:rPr>
          <w:rFonts w:ascii="Verdana" w:hAnsi="Verdana"/>
          <w:sz w:val="20"/>
          <w:szCs w:val="20"/>
        </w:rPr>
        <w:t xml:space="preserve"> EZ-Connect</w:t>
      </w:r>
      <w:r w:rsidR="000404A9" w:rsidRPr="00EF5BBE">
        <w:rPr>
          <w:rFonts w:ascii="Verdana" w:hAnsi="Verdana" w:cs="Times New Roman"/>
          <w:b/>
          <w:sz w:val="20"/>
          <w:szCs w:val="20"/>
          <w:vertAlign w:val="superscript"/>
        </w:rPr>
        <w:t>®</w:t>
      </w:r>
      <w:r w:rsidRPr="00EF5BBE">
        <w:rPr>
          <w:rFonts w:ascii="Verdana" w:hAnsi="Verdana"/>
          <w:sz w:val="20"/>
          <w:szCs w:val="20"/>
        </w:rPr>
        <w:t xml:space="preserve"> extension set to the hub, firmly secure by twisting clockwise  </w:t>
      </w:r>
    </w:p>
    <w:p w14:paraId="42D900D8" w14:textId="77777777" w:rsidR="00891C27" w:rsidRPr="00EF5BBE" w:rsidRDefault="00891C27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Pull the tabs off the EZ-Stabilizer dressing to expose the adhesive, apply to the skin</w:t>
      </w:r>
    </w:p>
    <w:p w14:paraId="1A023D1B" w14:textId="77777777" w:rsidR="00891C27" w:rsidRPr="00EF5BBE" w:rsidRDefault="00891C27" w:rsidP="00EF5BBE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Aspirate for blood/bone marrow (2</w:t>
      </w:r>
      <w:r w:rsidRPr="00EF5BBE">
        <w:rPr>
          <w:rFonts w:ascii="Verdana" w:hAnsi="Verdana"/>
          <w:sz w:val="20"/>
          <w:szCs w:val="20"/>
          <w:vertAlign w:val="superscript"/>
        </w:rPr>
        <w:t>nd</w:t>
      </w:r>
      <w:r w:rsidRPr="00EF5BBE">
        <w:rPr>
          <w:rFonts w:ascii="Verdana" w:hAnsi="Verdana"/>
          <w:sz w:val="20"/>
          <w:szCs w:val="20"/>
        </w:rPr>
        <w:t xml:space="preserve"> confirmation of placement)</w:t>
      </w:r>
    </w:p>
    <w:p w14:paraId="03917BA5" w14:textId="77777777" w:rsidR="00EF5BBE" w:rsidRDefault="00EF5BBE" w:rsidP="00EF5BBE">
      <w:pPr>
        <w:widowControl w:val="0"/>
        <w:autoSpaceDE w:val="0"/>
        <w:autoSpaceDN w:val="0"/>
        <w:adjustRightInd w:val="0"/>
        <w:spacing w:after="0"/>
        <w:rPr>
          <w:rFonts w:ascii="Verdana" w:hAnsi="Verdana" w:cs="Times"/>
          <w:b/>
          <w:bCs/>
          <w:color w:val="000000" w:themeColor="text1"/>
          <w:sz w:val="20"/>
          <w:szCs w:val="20"/>
          <w:u w:val="single"/>
        </w:rPr>
      </w:pPr>
    </w:p>
    <w:p w14:paraId="0A771ABF" w14:textId="262782C1" w:rsidR="00EF5BBE" w:rsidRPr="00EF5BBE" w:rsidRDefault="00EF5BBE" w:rsidP="00EF5BBE">
      <w:pPr>
        <w:widowControl w:val="0"/>
        <w:autoSpaceDE w:val="0"/>
        <w:autoSpaceDN w:val="0"/>
        <w:adjustRightInd w:val="0"/>
        <w:spacing w:after="0"/>
        <w:rPr>
          <w:rFonts w:ascii="Verdana" w:hAnsi="Verdana" w:cs="Calibri"/>
          <w:color w:val="000000" w:themeColor="text1"/>
          <w:sz w:val="20"/>
          <w:szCs w:val="20"/>
        </w:rPr>
      </w:pPr>
      <w:r w:rsidRPr="00EF5BBE">
        <w:rPr>
          <w:rFonts w:ascii="Verdana" w:hAnsi="Verdana" w:cs="Times"/>
          <w:b/>
          <w:bCs/>
          <w:color w:val="000000" w:themeColor="text1"/>
          <w:sz w:val="20"/>
          <w:szCs w:val="20"/>
          <w:u w:val="single"/>
        </w:rPr>
        <w:t>Recommended Anesthetic for Adult Patients Responsive to Pain</w:t>
      </w:r>
      <w:r w:rsidRPr="00EF5BBE">
        <w:rPr>
          <w:rFonts w:ascii="Verdana" w:hAnsi="Verdana" w:cs="Times"/>
          <w:b/>
          <w:bCs/>
          <w:color w:val="000000" w:themeColor="text1"/>
          <w:sz w:val="20"/>
          <w:szCs w:val="20"/>
        </w:rPr>
        <w:t>:</w:t>
      </w:r>
    </w:p>
    <w:p w14:paraId="1649CC6F" w14:textId="2DBC5A22" w:rsidR="00EF5BBE" w:rsidRPr="00EF5BBE" w:rsidRDefault="00EF5BBE" w:rsidP="00EF5BBE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EF5BBE">
        <w:rPr>
          <w:rFonts w:ascii="Verdana" w:hAnsi="Verdana" w:cs="Calibri"/>
          <w:noProof/>
          <w:color w:val="000000" w:themeColor="text1"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751AE41" wp14:editId="7396E042">
                <wp:simplePos x="0" y="0"/>
                <wp:positionH relativeFrom="column">
                  <wp:posOffset>5060950</wp:posOffset>
                </wp:positionH>
                <wp:positionV relativeFrom="paragraph">
                  <wp:posOffset>1451610</wp:posOffset>
                </wp:positionV>
                <wp:extent cx="0" cy="0"/>
                <wp:effectExtent l="46990" t="45720" r="48260" b="49530"/>
                <wp:wrapNone/>
                <wp:docPr id="1" name="In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E5FD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398.5pt;margin-top:114.3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">
                <v:imagedata r:id="rId9" o:title=""/>
                <o:lock v:ext="edit" rotation="t" verticies="t" shapetype="t"/>
              </v:shape>
            </w:pict>
          </mc:Fallback>
        </mc:AlternateContent>
      </w:r>
      <w:r w:rsidRPr="00EF5BBE">
        <w:rPr>
          <w:rFonts w:ascii="Verdana" w:hAnsi="Verdana" w:cs="Calibri"/>
          <w:color w:val="000000" w:themeColor="text1"/>
          <w:sz w:val="20"/>
          <w:szCs w:val="20"/>
        </w:rPr>
        <w:t>Observe recommended cautions/contraindications to using</w:t>
      </w:r>
      <w:r>
        <w:rPr>
          <w:rFonts w:ascii="Verdana" w:hAnsi="Verdana" w:cs="Calibri"/>
          <w:color w:val="000000" w:themeColor="text1"/>
          <w:sz w:val="20"/>
          <w:szCs w:val="20"/>
        </w:rPr>
        <w:t xml:space="preserve"> 2% preservative and </w:t>
      </w:r>
      <w:r w:rsidRPr="00EF5BBE">
        <w:rPr>
          <w:rFonts w:ascii="Verdana" w:hAnsi="Verdana" w:cs="Calibri"/>
          <w:color w:val="000000" w:themeColor="text1"/>
          <w:sz w:val="20"/>
          <w:szCs w:val="20"/>
        </w:rPr>
        <w:t>epinephrine free lidocaine (intravenous lidocaine)</w:t>
      </w:r>
    </w:p>
    <w:p w14:paraId="283476E6" w14:textId="77777777" w:rsidR="00EF5BBE" w:rsidRPr="00EF5BBE" w:rsidRDefault="00EF5BBE" w:rsidP="00EF5BBE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EF5BBE">
        <w:rPr>
          <w:rFonts w:ascii="Verdana" w:eastAsia="Calibri" w:hAnsi="Verdana" w:cs="Times New Roman"/>
          <w:sz w:val="20"/>
          <w:szCs w:val="20"/>
        </w:rPr>
        <w:t>Confirm lidocaine dose per institutional protocol</w:t>
      </w:r>
    </w:p>
    <w:p w14:paraId="7FC20E59" w14:textId="77777777" w:rsidR="00EF5BBE" w:rsidRPr="00EF5BBE" w:rsidRDefault="00EF5BBE" w:rsidP="00EF5BBE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EF5BBE">
        <w:rPr>
          <w:rFonts w:ascii="Verdana" w:hAnsi="Verdana" w:cs="Times"/>
          <w:color w:val="000000" w:themeColor="text1"/>
          <w:sz w:val="20"/>
          <w:szCs w:val="20"/>
        </w:rPr>
        <w:t>Prime EZ-Connect extension set with lidocaine</w:t>
      </w:r>
    </w:p>
    <w:p w14:paraId="52AD6065" w14:textId="77777777" w:rsidR="00EF5BBE" w:rsidRPr="00EF5BBE" w:rsidRDefault="00EF5BBE" w:rsidP="00EF5BB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/>
        <w:rPr>
          <w:rFonts w:ascii="Verdana" w:hAnsi="Verdana" w:cs="Calibri"/>
          <w:color w:val="000000" w:themeColor="text1"/>
          <w:sz w:val="20"/>
          <w:szCs w:val="20"/>
        </w:rPr>
      </w:pPr>
      <w:r w:rsidRPr="00EF5BBE">
        <w:rPr>
          <w:rFonts w:ascii="Verdana" w:hAnsi="Verdana" w:cs="Times"/>
          <w:i/>
          <w:iCs/>
          <w:color w:val="000000" w:themeColor="text1"/>
          <w:sz w:val="20"/>
          <w:szCs w:val="20"/>
        </w:rPr>
        <w:t xml:space="preserve">          Note that the priming volume of the EZ-Connect is approximately 1.0mL </w:t>
      </w:r>
    </w:p>
    <w:p w14:paraId="6057EA77" w14:textId="77777777" w:rsidR="00EF5BBE" w:rsidRPr="00EF5BBE" w:rsidRDefault="00EF5BBE" w:rsidP="00EF5BB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EF5BBE">
        <w:rPr>
          <w:rFonts w:ascii="Verdana" w:hAnsi="Verdana" w:cs="Times"/>
          <w:color w:val="000000" w:themeColor="text1"/>
          <w:sz w:val="20"/>
          <w:szCs w:val="20"/>
        </w:rPr>
        <w:t>Slowly infuse lidocaine 40mg IO over 120 seconds</w:t>
      </w:r>
    </w:p>
    <w:p w14:paraId="27CAC706" w14:textId="77777777" w:rsidR="00EF5BBE" w:rsidRPr="00EF5BBE" w:rsidRDefault="00EF5BBE" w:rsidP="00EF5BBE">
      <w:pPr>
        <w:widowControl w:val="0"/>
        <w:tabs>
          <w:tab w:val="left" w:pos="940"/>
        </w:tabs>
        <w:autoSpaceDE w:val="0"/>
        <w:autoSpaceDN w:val="0"/>
        <w:adjustRightInd w:val="0"/>
        <w:spacing w:after="0"/>
        <w:rPr>
          <w:rFonts w:ascii="Verdana" w:hAnsi="Verdana" w:cs="Calibri"/>
          <w:color w:val="000000" w:themeColor="text1"/>
          <w:sz w:val="20"/>
          <w:szCs w:val="20"/>
        </w:rPr>
      </w:pPr>
      <w:r w:rsidRPr="00EF5BBE">
        <w:rPr>
          <w:rFonts w:ascii="Verdana" w:hAnsi="Verdana" w:cs="Times"/>
          <w:color w:val="000000" w:themeColor="text1"/>
          <w:sz w:val="20"/>
          <w:szCs w:val="20"/>
        </w:rPr>
        <w:t xml:space="preserve">          Allow lidocaine to dwell in IO space 60 seconds</w:t>
      </w:r>
    </w:p>
    <w:p w14:paraId="29420B52" w14:textId="77777777" w:rsidR="00EF5BBE" w:rsidRPr="00EF5BBE" w:rsidRDefault="00EF5BBE" w:rsidP="00EF5BBE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EF5BBE">
        <w:rPr>
          <w:rFonts w:ascii="Verdana" w:hAnsi="Verdana" w:cs="Times"/>
          <w:color w:val="000000" w:themeColor="text1"/>
          <w:sz w:val="20"/>
          <w:szCs w:val="20"/>
        </w:rPr>
        <w:t>Flush with 5 to 10mL of normal saline</w:t>
      </w:r>
    </w:p>
    <w:p w14:paraId="65B90FF8" w14:textId="77777777" w:rsidR="00EF5BBE" w:rsidRPr="00EF5BBE" w:rsidRDefault="00EF5BBE" w:rsidP="00EF5BBE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EF5BBE">
        <w:rPr>
          <w:rFonts w:ascii="Verdana" w:hAnsi="Verdana" w:cs="Times"/>
          <w:color w:val="000000" w:themeColor="text1"/>
          <w:sz w:val="20"/>
          <w:szCs w:val="20"/>
        </w:rPr>
        <w:t>Slowly administer an additional 20mg of lidocaine IO over 60 seconds</w:t>
      </w:r>
    </w:p>
    <w:p w14:paraId="07A68C5E" w14:textId="77777777" w:rsidR="00EF5BBE" w:rsidRPr="00EF5BBE" w:rsidRDefault="00EF5BBE" w:rsidP="00EF5BBE">
      <w:pPr>
        <w:widowControl w:val="0"/>
        <w:tabs>
          <w:tab w:val="left" w:pos="220"/>
          <w:tab w:val="left" w:pos="720"/>
          <w:tab w:val="left" w:pos="7965"/>
        </w:tabs>
        <w:autoSpaceDE w:val="0"/>
        <w:autoSpaceDN w:val="0"/>
        <w:adjustRightInd w:val="0"/>
        <w:spacing w:after="0"/>
        <w:rPr>
          <w:rFonts w:ascii="Verdana" w:hAnsi="Verdana" w:cs="Times"/>
          <w:color w:val="000000" w:themeColor="text1"/>
          <w:sz w:val="20"/>
          <w:szCs w:val="20"/>
        </w:rPr>
      </w:pPr>
      <w:r w:rsidRPr="00EF5BBE">
        <w:rPr>
          <w:rFonts w:ascii="Verdana" w:hAnsi="Verdana" w:cs="Calibri"/>
          <w:color w:val="000000" w:themeColor="text1"/>
          <w:sz w:val="20"/>
          <w:szCs w:val="20"/>
        </w:rPr>
        <w:t xml:space="preserve">          </w:t>
      </w:r>
      <w:r w:rsidRPr="00EF5BBE">
        <w:rPr>
          <w:rFonts w:ascii="Verdana" w:hAnsi="Verdana" w:cs="Times"/>
          <w:color w:val="000000" w:themeColor="text1"/>
          <w:sz w:val="20"/>
          <w:szCs w:val="20"/>
        </w:rPr>
        <w:t>Repeat PRN</w:t>
      </w:r>
      <w:r w:rsidRPr="00EF5BBE">
        <w:rPr>
          <w:rFonts w:ascii="Verdana" w:hAnsi="Verdana" w:cs="Times"/>
          <w:color w:val="000000" w:themeColor="text1"/>
          <w:sz w:val="20"/>
          <w:szCs w:val="20"/>
        </w:rPr>
        <w:tab/>
      </w:r>
    </w:p>
    <w:p w14:paraId="1B639B83" w14:textId="77777777" w:rsidR="00EF5BBE" w:rsidRPr="00EF5BBE" w:rsidRDefault="00EF5BBE" w:rsidP="00EF5BBE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000000" w:themeColor="text1"/>
          <w:sz w:val="20"/>
          <w:szCs w:val="20"/>
        </w:rPr>
      </w:pPr>
      <w:r w:rsidRPr="00EF5BBE">
        <w:rPr>
          <w:rFonts w:ascii="Verdana" w:hAnsi="Verdana" w:cs="Times"/>
          <w:color w:val="000000" w:themeColor="text1"/>
          <w:sz w:val="20"/>
          <w:szCs w:val="20"/>
        </w:rPr>
        <w:t>Consider systemic pain control for patients not responding to IO lidocaine</w:t>
      </w:r>
    </w:p>
    <w:p w14:paraId="47F0FFC8" w14:textId="77777777" w:rsidR="00EF5BBE" w:rsidRDefault="00EF5BBE" w:rsidP="000E3450">
      <w:pPr>
        <w:spacing w:after="0"/>
        <w:rPr>
          <w:rFonts w:ascii="Verdana" w:hAnsi="Verdana"/>
          <w:b/>
          <w:sz w:val="20"/>
          <w:szCs w:val="20"/>
          <w:u w:val="single"/>
        </w:rPr>
      </w:pPr>
    </w:p>
    <w:p w14:paraId="53C7F920" w14:textId="631009D8" w:rsidR="000E3450" w:rsidRPr="00EF5BBE" w:rsidRDefault="000E3450" w:rsidP="000E3450">
      <w:pPr>
        <w:spacing w:after="0"/>
        <w:rPr>
          <w:rFonts w:ascii="Verdana" w:hAnsi="Verdana"/>
          <w:b/>
          <w:sz w:val="20"/>
          <w:szCs w:val="20"/>
          <w:u w:val="single"/>
        </w:rPr>
      </w:pPr>
      <w:r w:rsidRPr="00EF5BBE">
        <w:rPr>
          <w:rFonts w:ascii="Verdana" w:hAnsi="Verdana"/>
          <w:b/>
          <w:sz w:val="20"/>
          <w:szCs w:val="20"/>
          <w:u w:val="single"/>
        </w:rPr>
        <w:t>Adult Unresponsive to Pain</w:t>
      </w:r>
    </w:p>
    <w:p w14:paraId="39AD2ACD" w14:textId="77777777" w:rsidR="000E3450" w:rsidRPr="00EF5BBE" w:rsidRDefault="000E3450" w:rsidP="00EF5BBE">
      <w:pPr>
        <w:pStyle w:val="ListParagraph"/>
        <w:numPr>
          <w:ilvl w:val="0"/>
          <w:numId w:val="5"/>
        </w:numPr>
        <w:spacing w:after="0"/>
        <w:ind w:left="360"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Prime EZ-Connect extension set with normal saline</w:t>
      </w:r>
    </w:p>
    <w:p w14:paraId="434FBCB6" w14:textId="131D0FC2" w:rsidR="000E3450" w:rsidRPr="00EF5BBE" w:rsidRDefault="000E3450" w:rsidP="00EF5BBE">
      <w:pPr>
        <w:pStyle w:val="ListParagraph"/>
        <w:numPr>
          <w:ilvl w:val="0"/>
          <w:numId w:val="5"/>
        </w:numPr>
        <w:spacing w:after="0"/>
        <w:ind w:left="360"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Flush the IO catheter with 5-10 mL of normal saline</w:t>
      </w:r>
    </w:p>
    <w:p w14:paraId="65075B78" w14:textId="77777777" w:rsidR="000E3450" w:rsidRPr="00EF5BBE" w:rsidRDefault="000E3450" w:rsidP="00EF5BB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Connect fluids if ordered and pressurize to 300 mmHg for maximum flow</w:t>
      </w:r>
    </w:p>
    <w:p w14:paraId="664D0420" w14:textId="77777777" w:rsidR="000E3450" w:rsidRPr="00EF5BBE" w:rsidRDefault="000E3450" w:rsidP="00EF5BBE">
      <w:pPr>
        <w:pStyle w:val="ListParagraph"/>
        <w:numPr>
          <w:ilvl w:val="0"/>
          <w:numId w:val="4"/>
        </w:numPr>
        <w:spacing w:after="0"/>
        <w:ind w:left="360"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Assess for any signs of extravasation/complications</w:t>
      </w:r>
    </w:p>
    <w:p w14:paraId="33A4314B" w14:textId="27A385D0" w:rsidR="000E3450" w:rsidRPr="00EF5BBE" w:rsidRDefault="00EF5BBE" w:rsidP="00EF5BBE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If</w:t>
      </w:r>
      <w:r w:rsidR="000E3450" w:rsidRPr="00EF5BBE">
        <w:rPr>
          <w:rFonts w:ascii="Verdana" w:hAnsi="Verdana"/>
          <w:sz w:val="20"/>
          <w:szCs w:val="20"/>
        </w:rPr>
        <w:t xml:space="preserve"> patient develop</w:t>
      </w:r>
      <w:r>
        <w:rPr>
          <w:rFonts w:ascii="Verdana" w:hAnsi="Verdana"/>
          <w:sz w:val="20"/>
          <w:szCs w:val="20"/>
        </w:rPr>
        <w:t>s</w:t>
      </w:r>
      <w:r w:rsidR="000E3450" w:rsidRPr="00EF5BBE">
        <w:rPr>
          <w:rFonts w:ascii="Verdana" w:hAnsi="Verdana"/>
          <w:sz w:val="20"/>
          <w:szCs w:val="20"/>
        </w:rPr>
        <w:t xml:space="preserve"> signs that indicate responsiveness to pain, refer to section “</w:t>
      </w:r>
      <w:r>
        <w:rPr>
          <w:rFonts w:ascii="Verdana" w:eastAsia="Calibri" w:hAnsi="Verdana" w:cs="Times New Roman"/>
          <w:sz w:val="20"/>
          <w:szCs w:val="20"/>
        </w:rPr>
        <w:t>Recommended A</w:t>
      </w:r>
      <w:r w:rsidR="000E3450" w:rsidRPr="00EF5BBE">
        <w:rPr>
          <w:rFonts w:ascii="Verdana" w:eastAsia="Calibri" w:hAnsi="Verdana" w:cs="Times New Roman"/>
          <w:sz w:val="20"/>
          <w:szCs w:val="20"/>
        </w:rPr>
        <w:t xml:space="preserve">nesthetic for </w:t>
      </w:r>
      <w:r>
        <w:rPr>
          <w:rFonts w:ascii="Verdana" w:eastAsia="Calibri" w:hAnsi="Verdana" w:cs="Times New Roman"/>
          <w:sz w:val="20"/>
          <w:szCs w:val="20"/>
        </w:rPr>
        <w:t>A</w:t>
      </w:r>
      <w:r w:rsidR="00E216E0" w:rsidRPr="00EF5BBE">
        <w:rPr>
          <w:rFonts w:ascii="Verdana" w:eastAsia="Calibri" w:hAnsi="Verdana" w:cs="Times New Roman"/>
          <w:sz w:val="20"/>
          <w:szCs w:val="20"/>
        </w:rPr>
        <w:t>dult</w:t>
      </w:r>
      <w:r w:rsidR="000E3450" w:rsidRPr="00EF5BBE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Patients Responsive to P</w:t>
      </w:r>
      <w:r w:rsidR="000E3450" w:rsidRPr="00EF5BBE">
        <w:rPr>
          <w:rFonts w:ascii="Verdana" w:eastAsia="Calibri" w:hAnsi="Verdana" w:cs="Times New Roman"/>
          <w:sz w:val="20"/>
          <w:szCs w:val="20"/>
        </w:rPr>
        <w:t>ain</w:t>
      </w:r>
      <w:r w:rsidR="000E3450" w:rsidRPr="00EF5BBE">
        <w:rPr>
          <w:rFonts w:ascii="Verdana" w:hAnsi="Verdana"/>
          <w:sz w:val="20"/>
          <w:szCs w:val="20"/>
        </w:rPr>
        <w:t>”</w:t>
      </w:r>
    </w:p>
    <w:p w14:paraId="3D03D2C7" w14:textId="77777777" w:rsidR="000E3450" w:rsidRPr="00EF5BBE" w:rsidRDefault="000E3450" w:rsidP="000E3450">
      <w:pPr>
        <w:spacing w:after="0"/>
        <w:rPr>
          <w:rFonts w:ascii="Verdana" w:hAnsi="Verdana"/>
          <w:b/>
          <w:sz w:val="20"/>
          <w:szCs w:val="20"/>
          <w:u w:val="single"/>
        </w:rPr>
      </w:pPr>
    </w:p>
    <w:p w14:paraId="56B9EF8A" w14:textId="77777777" w:rsidR="000E3450" w:rsidRPr="00EF5BBE" w:rsidRDefault="000E3450" w:rsidP="000E3450">
      <w:pPr>
        <w:spacing w:after="0"/>
        <w:rPr>
          <w:rFonts w:ascii="Verdana" w:hAnsi="Verdana"/>
          <w:b/>
          <w:sz w:val="20"/>
          <w:szCs w:val="20"/>
          <w:u w:val="single"/>
        </w:rPr>
      </w:pPr>
      <w:r w:rsidRPr="00EF5BBE">
        <w:rPr>
          <w:rFonts w:ascii="Verdana" w:hAnsi="Verdana"/>
          <w:b/>
          <w:sz w:val="20"/>
          <w:szCs w:val="20"/>
          <w:u w:val="single"/>
        </w:rPr>
        <w:t>EZ-IO</w:t>
      </w:r>
      <w:r w:rsidRPr="00DD70BA">
        <w:rPr>
          <w:rFonts w:ascii="Verdana" w:hAnsi="Verdana"/>
          <w:b/>
          <w:sz w:val="20"/>
          <w:szCs w:val="20"/>
          <w:u w:val="single"/>
          <w:vertAlign w:val="superscript"/>
        </w:rPr>
        <w:t>®</w:t>
      </w:r>
      <w:r w:rsidRPr="00EF5BBE">
        <w:rPr>
          <w:rFonts w:ascii="Verdana" w:hAnsi="Verdana"/>
          <w:b/>
          <w:sz w:val="20"/>
          <w:szCs w:val="20"/>
          <w:u w:val="single"/>
        </w:rPr>
        <w:t xml:space="preserve"> Removal Technique</w:t>
      </w:r>
    </w:p>
    <w:p w14:paraId="36275368" w14:textId="77777777" w:rsidR="000E3450" w:rsidRPr="00EF5BBE" w:rsidRDefault="000E3450" w:rsidP="000E3450">
      <w:pPr>
        <w:numPr>
          <w:ilvl w:val="0"/>
          <w:numId w:val="3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Remove EZ-Connect and EZ-Stabilizer dressing</w:t>
      </w:r>
    </w:p>
    <w:p w14:paraId="1DB78131" w14:textId="1430629A" w:rsidR="000E3450" w:rsidRPr="00EF5BBE" w:rsidRDefault="000404A9" w:rsidP="000E3450">
      <w:pPr>
        <w:numPr>
          <w:ilvl w:val="0"/>
          <w:numId w:val="3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Stabilize catheter</w:t>
      </w:r>
      <w:r w:rsidR="000E3450" w:rsidRPr="00EF5BBE">
        <w:rPr>
          <w:rFonts w:ascii="Verdana" w:hAnsi="Verdana"/>
          <w:sz w:val="20"/>
          <w:szCs w:val="20"/>
        </w:rPr>
        <w:t xml:space="preserve"> hub and attach a Luer lock syringe to the hub </w:t>
      </w:r>
    </w:p>
    <w:p w14:paraId="23E4086C" w14:textId="77777777" w:rsidR="000E3450" w:rsidRPr="00EF5BBE" w:rsidRDefault="000E3450" w:rsidP="000E3450">
      <w:pPr>
        <w:numPr>
          <w:ilvl w:val="0"/>
          <w:numId w:val="3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Maintaining axial alignment, twist clockwise and pull straight out</w:t>
      </w:r>
    </w:p>
    <w:p w14:paraId="7E23E5FB" w14:textId="77777777" w:rsidR="000E3450" w:rsidRPr="00EF5BBE" w:rsidRDefault="000E3450" w:rsidP="000E3450">
      <w:pPr>
        <w:spacing w:after="0" w:line="240" w:lineRule="auto"/>
        <w:ind w:left="720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Do not rock the syringe</w:t>
      </w:r>
    </w:p>
    <w:p w14:paraId="423ACAB7" w14:textId="6C6B7254" w:rsidR="000E3450" w:rsidRPr="00EF5BBE" w:rsidRDefault="000404A9" w:rsidP="000E3450">
      <w:pPr>
        <w:numPr>
          <w:ilvl w:val="0"/>
          <w:numId w:val="3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Dispose of catheter</w:t>
      </w:r>
      <w:r w:rsidR="000E3450" w:rsidRPr="00EF5BBE">
        <w:rPr>
          <w:rFonts w:ascii="Verdana" w:hAnsi="Verdana"/>
          <w:sz w:val="20"/>
          <w:szCs w:val="20"/>
        </w:rPr>
        <w:t xml:space="preserve"> with syringe attached into sharps container  </w:t>
      </w:r>
    </w:p>
    <w:p w14:paraId="588B005F" w14:textId="452B82A3" w:rsidR="0035563B" w:rsidRPr="00EF5BBE" w:rsidRDefault="000E3450" w:rsidP="00CF3D3F">
      <w:pPr>
        <w:numPr>
          <w:ilvl w:val="0"/>
          <w:numId w:val="3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EF5BBE">
        <w:rPr>
          <w:rFonts w:ascii="Verdana" w:hAnsi="Verdana"/>
          <w:sz w:val="20"/>
          <w:szCs w:val="20"/>
        </w:rPr>
        <w:t>Apply pressure as needed, dress per institutional protocol</w:t>
      </w:r>
    </w:p>
    <w:p w14:paraId="134D0F4D" w14:textId="08129A80" w:rsidR="00884A48" w:rsidRDefault="00884A48">
      <w:pPr>
        <w:rPr>
          <w:rFonts w:ascii="Verdana" w:eastAsia="MS PGothic" w:hAnsi="Verdana" w:cs="Times New Roman"/>
          <w:color w:val="000000"/>
          <w:kern w:val="24"/>
          <w:sz w:val="20"/>
          <w:szCs w:val="20"/>
        </w:rPr>
      </w:pPr>
      <w:r>
        <w:rPr>
          <w:rFonts w:ascii="Verdana" w:eastAsia="MS PGothic" w:hAnsi="Verdana" w:cs="Times New Roman"/>
          <w:color w:val="000000"/>
          <w:kern w:val="24"/>
          <w:sz w:val="20"/>
          <w:szCs w:val="20"/>
        </w:rPr>
        <w:br w:type="page"/>
      </w:r>
    </w:p>
    <w:p w14:paraId="17CE1E0C" w14:textId="5FA1EBBF" w:rsidR="00884A48" w:rsidRPr="0063301E" w:rsidRDefault="00884A48" w:rsidP="00884A4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eastAsia="Calibri" w:hAnsi="Verdana" w:cs="Calibri"/>
          <w:b/>
          <w:color w:val="000000"/>
          <w:sz w:val="20"/>
          <w:szCs w:val="20"/>
        </w:rPr>
      </w:pPr>
      <w:r>
        <w:rPr>
          <w:rFonts w:ascii="Verdana" w:eastAsia="Calibri" w:hAnsi="Verdana" w:cs="Calibri"/>
          <w:b/>
          <w:color w:val="000000"/>
          <w:sz w:val="20"/>
          <w:szCs w:val="20"/>
        </w:rPr>
        <w:lastRenderedPageBreak/>
        <w:t>Lidocaine d</w:t>
      </w:r>
      <w:r w:rsidRPr="0063301E">
        <w:rPr>
          <w:rFonts w:ascii="Verdana" w:eastAsia="Calibri" w:hAnsi="Verdana" w:cs="Calibri"/>
          <w:b/>
          <w:color w:val="000000"/>
          <w:sz w:val="20"/>
          <w:szCs w:val="20"/>
        </w:rPr>
        <w:t xml:space="preserve">osing </w:t>
      </w:r>
      <w:r>
        <w:rPr>
          <w:rFonts w:ascii="Verdana" w:eastAsia="Calibri" w:hAnsi="Verdana" w:cs="Calibri"/>
          <w:b/>
          <w:color w:val="000000"/>
          <w:sz w:val="20"/>
          <w:szCs w:val="20"/>
        </w:rPr>
        <w:t>recommendations</w:t>
      </w:r>
      <w:r w:rsidRPr="0063301E">
        <w:rPr>
          <w:rFonts w:ascii="Verdana" w:eastAsia="Calibri" w:hAnsi="Verdana" w:cs="Calibri"/>
          <w:b/>
          <w:color w:val="000000"/>
          <w:sz w:val="20"/>
          <w:szCs w:val="20"/>
        </w:rPr>
        <w:t xml:space="preserve"> were developed based on the research below</w:t>
      </w:r>
      <w:r>
        <w:rPr>
          <w:rFonts w:ascii="Verdana" w:eastAsia="Calibri" w:hAnsi="Verdana" w:cs="Calibri"/>
          <w:b/>
          <w:color w:val="000000"/>
          <w:sz w:val="20"/>
          <w:szCs w:val="20"/>
        </w:rPr>
        <w:t>.  F</w:t>
      </w:r>
      <w:r w:rsidRPr="0063301E">
        <w:rPr>
          <w:rFonts w:ascii="Verdana" w:eastAsia="Calibri" w:hAnsi="Verdana" w:cs="Calibri"/>
          <w:b/>
          <w:color w:val="000000"/>
          <w:sz w:val="20"/>
          <w:szCs w:val="20"/>
        </w:rPr>
        <w:t xml:space="preserve">or additional references, research and dosing charts, please visit </w:t>
      </w:r>
      <w:r w:rsidRPr="0063301E">
        <w:rPr>
          <w:rFonts w:ascii="Verdana" w:hAnsi="Verdana"/>
          <w:b/>
          <w:color w:val="0070C0"/>
          <w:sz w:val="20"/>
          <w:szCs w:val="20"/>
        </w:rPr>
        <w:t>www.eziocomfort.com</w:t>
      </w:r>
      <w:hyperlink r:id="rId10" w:history="1"/>
      <w:r w:rsidRPr="0063301E">
        <w:rPr>
          <w:rFonts w:ascii="Verdana" w:eastAsia="Calibri" w:hAnsi="Verdana" w:cs="Calibri"/>
          <w:b/>
          <w:color w:val="000000"/>
          <w:sz w:val="20"/>
          <w:szCs w:val="20"/>
        </w:rPr>
        <w:t xml:space="preserve"> </w:t>
      </w:r>
    </w:p>
    <w:p w14:paraId="54AB5B66" w14:textId="77777777" w:rsidR="00884A48" w:rsidRPr="006916A4" w:rsidRDefault="00884A48" w:rsidP="00884A48">
      <w:pPr>
        <w:pStyle w:val="Default"/>
        <w:numPr>
          <w:ilvl w:val="0"/>
          <w:numId w:val="11"/>
        </w:numPr>
        <w:ind w:right="-432"/>
        <w:rPr>
          <w:rFonts w:ascii="Verdana" w:hAnsi="Verdana"/>
          <w:sz w:val="18"/>
          <w:szCs w:val="18"/>
        </w:rPr>
      </w:pPr>
      <w:bookmarkStart w:id="0" w:name="_GoBack"/>
      <w:bookmarkEnd w:id="0"/>
      <w:r w:rsidRPr="006916A4">
        <w:rPr>
          <w:rFonts w:ascii="Verdana" w:hAnsi="Verdana"/>
          <w:sz w:val="18"/>
          <w:szCs w:val="18"/>
        </w:rPr>
        <w:t xml:space="preserve">Philbeck TE, Miller LJ, Montez D, Puga T. Hurts so good; easing IO pain and pressure. </w:t>
      </w:r>
      <w:r w:rsidRPr="006916A4">
        <w:rPr>
          <w:rFonts w:ascii="Verdana" w:hAnsi="Verdana"/>
          <w:i/>
          <w:iCs/>
          <w:sz w:val="18"/>
          <w:szCs w:val="18"/>
        </w:rPr>
        <w:t xml:space="preserve">JEMS </w:t>
      </w:r>
      <w:r w:rsidRPr="006916A4">
        <w:rPr>
          <w:rFonts w:ascii="Verdana" w:hAnsi="Verdana"/>
          <w:sz w:val="18"/>
          <w:szCs w:val="18"/>
        </w:rPr>
        <w:t>2010;35(9):58-69</w:t>
      </w:r>
      <w:r>
        <w:rPr>
          <w:rFonts w:ascii="Verdana" w:hAnsi="Verdana"/>
          <w:sz w:val="18"/>
          <w:szCs w:val="18"/>
        </w:rPr>
        <w:t>*</w:t>
      </w:r>
    </w:p>
    <w:p w14:paraId="4CDE29CD" w14:textId="77777777" w:rsidR="00884A48" w:rsidRDefault="00884A48" w:rsidP="00884A48">
      <w:pPr>
        <w:pStyle w:val="Default"/>
        <w:numPr>
          <w:ilvl w:val="0"/>
          <w:numId w:val="11"/>
        </w:numPr>
        <w:ind w:right="-432"/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Ong MEH, Chan YH, Oh JJ, Ngo AS-Y. An observational, prospective study comparing tibial and humeral intraosseous access using the EZ-IO. </w:t>
      </w:r>
      <w:r w:rsidRPr="006916A4">
        <w:rPr>
          <w:rFonts w:ascii="Verdana" w:hAnsi="Verdana"/>
          <w:i/>
          <w:iCs/>
          <w:sz w:val="18"/>
          <w:szCs w:val="18"/>
        </w:rPr>
        <w:t xml:space="preserve">Am J Emerg Med </w:t>
      </w:r>
      <w:r w:rsidRPr="006916A4">
        <w:rPr>
          <w:rFonts w:ascii="Verdana" w:hAnsi="Verdana"/>
          <w:sz w:val="18"/>
          <w:szCs w:val="18"/>
        </w:rPr>
        <w:t>2009;27:8-15</w:t>
      </w:r>
      <w:r>
        <w:rPr>
          <w:rFonts w:ascii="Verdana" w:hAnsi="Verdana"/>
          <w:sz w:val="18"/>
          <w:szCs w:val="18"/>
        </w:rPr>
        <w:t>*</w:t>
      </w:r>
      <w:r w:rsidRPr="006916A4">
        <w:rPr>
          <w:rFonts w:ascii="Verdana" w:hAnsi="Verdana"/>
          <w:sz w:val="18"/>
          <w:szCs w:val="18"/>
        </w:rPr>
        <w:t xml:space="preserve"> </w:t>
      </w:r>
    </w:p>
    <w:p w14:paraId="01F67DD6" w14:textId="77777777" w:rsidR="00884A48" w:rsidRPr="006916A4" w:rsidRDefault="00884A48" w:rsidP="00884A48">
      <w:pPr>
        <w:pStyle w:val="Default"/>
        <w:numPr>
          <w:ilvl w:val="0"/>
          <w:numId w:val="11"/>
        </w:numPr>
        <w:ind w:right="-432"/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Fowler RL, Pierce </w:t>
      </w:r>
      <w:proofErr w:type="gramStart"/>
      <w:r w:rsidRPr="006916A4">
        <w:rPr>
          <w:rFonts w:ascii="Verdana" w:hAnsi="Verdana"/>
          <w:sz w:val="18"/>
          <w:szCs w:val="18"/>
        </w:rPr>
        <w:t>A</w:t>
      </w:r>
      <w:proofErr w:type="gramEnd"/>
      <w:r w:rsidRPr="006916A4">
        <w:rPr>
          <w:rFonts w:ascii="Verdana" w:hAnsi="Verdana"/>
          <w:sz w:val="18"/>
          <w:szCs w:val="18"/>
        </w:rPr>
        <w:t xml:space="preserve">, </w:t>
      </w:r>
      <w:proofErr w:type="spellStart"/>
      <w:r w:rsidRPr="006916A4">
        <w:rPr>
          <w:rFonts w:ascii="Verdana" w:hAnsi="Verdana"/>
          <w:sz w:val="18"/>
          <w:szCs w:val="18"/>
        </w:rPr>
        <w:t>Nazeer</w:t>
      </w:r>
      <w:proofErr w:type="spellEnd"/>
      <w:r w:rsidRPr="006916A4">
        <w:rPr>
          <w:rFonts w:ascii="Verdana" w:hAnsi="Verdana"/>
          <w:sz w:val="18"/>
          <w:szCs w:val="18"/>
        </w:rPr>
        <w:t xml:space="preserve"> S et al. 1,199 case series: Powered intraosseous insertion provides safe and effective vascular access for emergency patients. </w:t>
      </w:r>
      <w:r w:rsidRPr="006916A4">
        <w:rPr>
          <w:rFonts w:ascii="Verdana" w:hAnsi="Verdana"/>
          <w:i/>
          <w:iCs/>
          <w:sz w:val="18"/>
          <w:szCs w:val="18"/>
        </w:rPr>
        <w:t xml:space="preserve">Ann Emerg Med </w:t>
      </w:r>
      <w:r>
        <w:rPr>
          <w:rFonts w:ascii="Verdana" w:hAnsi="Verdana"/>
          <w:sz w:val="18"/>
          <w:szCs w:val="18"/>
        </w:rPr>
        <w:t>2008;52:S152*</w:t>
      </w:r>
    </w:p>
    <w:p w14:paraId="68461E7B" w14:textId="77777777" w:rsidR="00884A48" w:rsidRPr="006916A4" w:rsidRDefault="00884A48" w:rsidP="00884A48">
      <w:pPr>
        <w:pStyle w:val="Default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Paxton JH, Knuth TE, </w:t>
      </w:r>
      <w:proofErr w:type="spellStart"/>
      <w:r w:rsidRPr="006916A4">
        <w:rPr>
          <w:rFonts w:ascii="Verdana" w:hAnsi="Verdana"/>
          <w:sz w:val="18"/>
          <w:szCs w:val="18"/>
        </w:rPr>
        <w:t>Klausner</w:t>
      </w:r>
      <w:proofErr w:type="spellEnd"/>
      <w:r w:rsidRPr="006916A4">
        <w:rPr>
          <w:rFonts w:ascii="Verdana" w:hAnsi="Verdana"/>
          <w:sz w:val="18"/>
          <w:szCs w:val="18"/>
        </w:rPr>
        <w:t xml:space="preserve"> HA. Proximal humerus intraosseous infusion: a preferred emergency venous access</w:t>
      </w:r>
      <w:r w:rsidRPr="006916A4">
        <w:rPr>
          <w:rFonts w:ascii="Verdana" w:hAnsi="Verdana"/>
          <w:i/>
          <w:iCs/>
          <w:sz w:val="18"/>
          <w:szCs w:val="18"/>
        </w:rPr>
        <w:t>. J Trauma</w:t>
      </w:r>
      <w:r>
        <w:rPr>
          <w:rFonts w:ascii="Verdana" w:hAnsi="Verdana"/>
          <w:sz w:val="18"/>
          <w:szCs w:val="18"/>
        </w:rPr>
        <w:t>. 2009; 67: 606-11*</w:t>
      </w:r>
    </w:p>
    <w:p w14:paraId="650C472D" w14:textId="77777777" w:rsidR="00884A48" w:rsidRPr="006916A4" w:rsidRDefault="00884A48" w:rsidP="00884A48">
      <w:pPr>
        <w:pStyle w:val="Default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Wayne MA. Intraosseous vascular access: devices, sites and rationale for IO use. </w:t>
      </w:r>
      <w:r w:rsidRPr="006916A4">
        <w:rPr>
          <w:rFonts w:ascii="Verdana" w:hAnsi="Verdana"/>
          <w:i/>
          <w:iCs/>
          <w:sz w:val="18"/>
          <w:szCs w:val="18"/>
        </w:rPr>
        <w:t xml:space="preserve">JEMS </w:t>
      </w:r>
      <w:r w:rsidRPr="006916A4">
        <w:rPr>
          <w:rFonts w:ascii="Verdana" w:hAnsi="Verdana"/>
          <w:sz w:val="18"/>
          <w:szCs w:val="18"/>
        </w:rPr>
        <w:t>2007</w:t>
      </w:r>
      <w:proofErr w:type="gramStart"/>
      <w:r w:rsidRPr="006916A4">
        <w:rPr>
          <w:rFonts w:ascii="Verdana" w:hAnsi="Verdana"/>
          <w:sz w:val="18"/>
          <w:szCs w:val="18"/>
        </w:rPr>
        <w:t>;32:S23</w:t>
      </w:r>
      <w:proofErr w:type="gramEnd"/>
      <w:r w:rsidRPr="006916A4">
        <w:rPr>
          <w:rFonts w:ascii="Verdana" w:hAnsi="Verdana"/>
          <w:sz w:val="18"/>
          <w:szCs w:val="18"/>
        </w:rPr>
        <w:t>-5.</w:t>
      </w:r>
    </w:p>
    <w:p w14:paraId="231368CF" w14:textId="77777777" w:rsidR="00884A48" w:rsidRPr="006916A4" w:rsidRDefault="00884A48" w:rsidP="00884A48">
      <w:pPr>
        <w:pStyle w:val="Default"/>
        <w:numPr>
          <w:ilvl w:val="0"/>
          <w:numId w:val="11"/>
        </w:numPr>
        <w:rPr>
          <w:rFonts w:ascii="Verdana" w:hAnsi="Verdana"/>
          <w:sz w:val="18"/>
          <w:szCs w:val="18"/>
        </w:rPr>
      </w:pPr>
      <w:proofErr w:type="spellStart"/>
      <w:r w:rsidRPr="006916A4">
        <w:rPr>
          <w:rFonts w:ascii="Verdana" w:hAnsi="Verdana"/>
          <w:sz w:val="18"/>
          <w:szCs w:val="18"/>
        </w:rPr>
        <w:t>Frascone</w:t>
      </w:r>
      <w:proofErr w:type="spellEnd"/>
      <w:r w:rsidRPr="006916A4">
        <w:rPr>
          <w:rFonts w:ascii="Verdana" w:hAnsi="Verdana"/>
          <w:sz w:val="18"/>
          <w:szCs w:val="18"/>
        </w:rPr>
        <w:t xml:space="preserve"> RJ, Jensen JP, Kaye K, </w:t>
      </w:r>
      <w:proofErr w:type="spellStart"/>
      <w:r w:rsidRPr="006916A4">
        <w:rPr>
          <w:rFonts w:ascii="Verdana" w:hAnsi="Verdana"/>
          <w:sz w:val="18"/>
          <w:szCs w:val="18"/>
        </w:rPr>
        <w:t>Salzman</w:t>
      </w:r>
      <w:proofErr w:type="spellEnd"/>
      <w:r w:rsidRPr="006916A4">
        <w:rPr>
          <w:rFonts w:ascii="Verdana" w:hAnsi="Verdana"/>
          <w:sz w:val="18"/>
          <w:szCs w:val="18"/>
        </w:rPr>
        <w:t xml:space="preserve"> JG. Consecutive field trials using two different intraosseous devices. </w:t>
      </w:r>
      <w:proofErr w:type="spellStart"/>
      <w:r w:rsidRPr="006916A4">
        <w:rPr>
          <w:rFonts w:ascii="Verdana" w:hAnsi="Verdana"/>
          <w:i/>
          <w:iCs/>
          <w:sz w:val="18"/>
          <w:szCs w:val="18"/>
        </w:rPr>
        <w:t>Prehosp</w:t>
      </w:r>
      <w:proofErr w:type="spellEnd"/>
      <w:r w:rsidRPr="006916A4">
        <w:rPr>
          <w:rFonts w:ascii="Verdana" w:hAnsi="Verdana"/>
          <w:i/>
          <w:iCs/>
          <w:sz w:val="18"/>
          <w:szCs w:val="18"/>
        </w:rPr>
        <w:t xml:space="preserve"> Emerg Care </w:t>
      </w:r>
      <w:r>
        <w:rPr>
          <w:rFonts w:ascii="Verdana" w:hAnsi="Verdana"/>
          <w:sz w:val="18"/>
          <w:szCs w:val="18"/>
        </w:rPr>
        <w:t>2007;11:164-71*</w:t>
      </w:r>
    </w:p>
    <w:p w14:paraId="3AA89069" w14:textId="77777777" w:rsidR="00884A48" w:rsidRPr="006916A4" w:rsidRDefault="00884A48" w:rsidP="00884A48">
      <w:pPr>
        <w:pStyle w:val="Default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Fowler R, Gallagher JV, Isaacs SM, et al. The role of intraosseous vascular access in the out-of-hospital environment (resource document to NAEMSP position statement). </w:t>
      </w:r>
      <w:proofErr w:type="spellStart"/>
      <w:r w:rsidRPr="006916A4">
        <w:rPr>
          <w:rFonts w:ascii="Verdana" w:hAnsi="Verdana"/>
          <w:i/>
          <w:iCs/>
          <w:sz w:val="18"/>
          <w:szCs w:val="18"/>
        </w:rPr>
        <w:t>Prehosp</w:t>
      </w:r>
      <w:proofErr w:type="spellEnd"/>
      <w:r w:rsidRPr="006916A4">
        <w:rPr>
          <w:rFonts w:ascii="Verdana" w:hAnsi="Verdana"/>
          <w:i/>
          <w:iCs/>
          <w:sz w:val="18"/>
          <w:szCs w:val="18"/>
        </w:rPr>
        <w:t xml:space="preserve"> Emerg Care </w:t>
      </w:r>
      <w:r>
        <w:rPr>
          <w:rFonts w:ascii="Verdana" w:hAnsi="Verdana"/>
          <w:sz w:val="18"/>
          <w:szCs w:val="18"/>
        </w:rPr>
        <w:t>2007;11:63-6</w:t>
      </w:r>
    </w:p>
    <w:p w14:paraId="6FB8E35C" w14:textId="77777777" w:rsidR="00884A48" w:rsidRPr="006916A4" w:rsidRDefault="00884A48" w:rsidP="00884A48">
      <w:pPr>
        <w:pStyle w:val="Default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Miller L, Kramer GC, </w:t>
      </w:r>
      <w:proofErr w:type="spellStart"/>
      <w:r w:rsidRPr="006916A4">
        <w:rPr>
          <w:rFonts w:ascii="Verdana" w:hAnsi="Verdana"/>
          <w:sz w:val="18"/>
          <w:szCs w:val="18"/>
        </w:rPr>
        <w:t>Bolleter</w:t>
      </w:r>
      <w:proofErr w:type="spellEnd"/>
      <w:r w:rsidRPr="006916A4">
        <w:rPr>
          <w:rFonts w:ascii="Verdana" w:hAnsi="Verdana"/>
          <w:sz w:val="18"/>
          <w:szCs w:val="18"/>
        </w:rPr>
        <w:t xml:space="preserve"> S. Rescue access made easy. </w:t>
      </w:r>
      <w:r w:rsidRPr="006916A4">
        <w:rPr>
          <w:rFonts w:ascii="Verdana" w:hAnsi="Verdana"/>
          <w:i/>
          <w:iCs/>
          <w:sz w:val="18"/>
          <w:szCs w:val="18"/>
        </w:rPr>
        <w:t xml:space="preserve">JEMS </w:t>
      </w:r>
      <w:r>
        <w:rPr>
          <w:rFonts w:ascii="Verdana" w:hAnsi="Verdana"/>
          <w:sz w:val="18"/>
          <w:szCs w:val="18"/>
        </w:rPr>
        <w:t>2005;30:S8-18*</w:t>
      </w:r>
    </w:p>
    <w:p w14:paraId="22F72ABF" w14:textId="77777777" w:rsidR="00884A48" w:rsidRPr="006916A4" w:rsidRDefault="00884A48" w:rsidP="00884A48">
      <w:pPr>
        <w:pStyle w:val="Default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Davidoff J, Fowler R, Gordon D, et al. Clinical evaluation of a novel intraosseous device for adults: prospective, 250-patient, multi-center trial. </w:t>
      </w:r>
      <w:r w:rsidRPr="006916A4">
        <w:rPr>
          <w:rFonts w:ascii="Verdana" w:hAnsi="Verdana"/>
          <w:i/>
          <w:iCs/>
          <w:sz w:val="18"/>
          <w:szCs w:val="18"/>
        </w:rPr>
        <w:t xml:space="preserve">JEMS </w:t>
      </w:r>
      <w:r>
        <w:rPr>
          <w:rFonts w:ascii="Verdana" w:hAnsi="Verdana"/>
          <w:sz w:val="18"/>
          <w:szCs w:val="18"/>
        </w:rPr>
        <w:t>2005;30:S20-3*</w:t>
      </w:r>
    </w:p>
    <w:p w14:paraId="7F2FB1A2" w14:textId="77777777" w:rsidR="00884A48" w:rsidRPr="006916A4" w:rsidRDefault="00884A48" w:rsidP="00884A48">
      <w:pPr>
        <w:pStyle w:val="Default"/>
        <w:numPr>
          <w:ilvl w:val="0"/>
          <w:numId w:val="11"/>
        </w:numPr>
        <w:rPr>
          <w:rFonts w:ascii="Verdana" w:hAnsi="Verdana"/>
          <w:sz w:val="18"/>
          <w:szCs w:val="18"/>
        </w:rPr>
      </w:pPr>
      <w:proofErr w:type="spellStart"/>
      <w:r w:rsidRPr="006916A4">
        <w:rPr>
          <w:rFonts w:ascii="Verdana" w:hAnsi="Verdana"/>
          <w:sz w:val="18"/>
          <w:szCs w:val="18"/>
        </w:rPr>
        <w:t>Gillum</w:t>
      </w:r>
      <w:proofErr w:type="spellEnd"/>
      <w:r w:rsidRPr="006916A4">
        <w:rPr>
          <w:rFonts w:ascii="Verdana" w:hAnsi="Verdana"/>
          <w:sz w:val="18"/>
          <w:szCs w:val="18"/>
        </w:rPr>
        <w:t xml:space="preserve"> L, </w:t>
      </w:r>
      <w:proofErr w:type="spellStart"/>
      <w:r w:rsidRPr="006916A4">
        <w:rPr>
          <w:rFonts w:ascii="Verdana" w:hAnsi="Verdana"/>
          <w:sz w:val="18"/>
          <w:szCs w:val="18"/>
        </w:rPr>
        <w:t>Kovar</w:t>
      </w:r>
      <w:proofErr w:type="spellEnd"/>
      <w:r w:rsidRPr="006916A4">
        <w:rPr>
          <w:rFonts w:ascii="Verdana" w:hAnsi="Verdana"/>
          <w:sz w:val="18"/>
          <w:szCs w:val="18"/>
        </w:rPr>
        <w:t xml:space="preserve"> J. Powered intraosseous access in the </w:t>
      </w:r>
      <w:proofErr w:type="spellStart"/>
      <w:r w:rsidRPr="006916A4">
        <w:rPr>
          <w:rFonts w:ascii="Verdana" w:hAnsi="Verdana"/>
          <w:sz w:val="18"/>
          <w:szCs w:val="18"/>
        </w:rPr>
        <w:t>prehospital</w:t>
      </w:r>
      <w:proofErr w:type="spellEnd"/>
      <w:r w:rsidRPr="006916A4">
        <w:rPr>
          <w:rFonts w:ascii="Verdana" w:hAnsi="Verdana"/>
          <w:sz w:val="18"/>
          <w:szCs w:val="18"/>
        </w:rPr>
        <w:t xml:space="preserve"> setting: MCHD EMS puts the EZ-IO to the test. </w:t>
      </w:r>
      <w:r w:rsidRPr="006916A4">
        <w:rPr>
          <w:rFonts w:ascii="Verdana" w:hAnsi="Verdana"/>
          <w:i/>
          <w:iCs/>
          <w:sz w:val="18"/>
          <w:szCs w:val="18"/>
        </w:rPr>
        <w:t xml:space="preserve">JEMS </w:t>
      </w:r>
      <w:r>
        <w:rPr>
          <w:rFonts w:ascii="Verdana" w:hAnsi="Verdana"/>
          <w:sz w:val="18"/>
          <w:szCs w:val="18"/>
        </w:rPr>
        <w:t>2005;30:S24-6*</w:t>
      </w:r>
    </w:p>
    <w:p w14:paraId="63BE824B" w14:textId="77777777" w:rsidR="00884A48" w:rsidRDefault="00884A48" w:rsidP="00884A48">
      <w:pPr>
        <w:pStyle w:val="Default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Cooper BR, Mahoney PF, </w:t>
      </w:r>
      <w:proofErr w:type="spellStart"/>
      <w:r w:rsidRPr="006916A4">
        <w:rPr>
          <w:rFonts w:ascii="Verdana" w:hAnsi="Verdana"/>
          <w:sz w:val="18"/>
          <w:szCs w:val="18"/>
        </w:rPr>
        <w:t>Hodgetts</w:t>
      </w:r>
      <w:proofErr w:type="spellEnd"/>
      <w:r w:rsidRPr="006916A4">
        <w:rPr>
          <w:rFonts w:ascii="Verdana" w:hAnsi="Verdana"/>
          <w:sz w:val="18"/>
          <w:szCs w:val="18"/>
        </w:rPr>
        <w:t xml:space="preserve"> TJ, </w:t>
      </w:r>
      <w:proofErr w:type="gramStart"/>
      <w:r w:rsidRPr="006916A4">
        <w:rPr>
          <w:rFonts w:ascii="Verdana" w:hAnsi="Verdana"/>
          <w:sz w:val="18"/>
          <w:szCs w:val="18"/>
        </w:rPr>
        <w:t>Mellor</w:t>
      </w:r>
      <w:proofErr w:type="gramEnd"/>
      <w:r w:rsidRPr="006916A4">
        <w:rPr>
          <w:rFonts w:ascii="Verdana" w:hAnsi="Verdana"/>
          <w:sz w:val="18"/>
          <w:szCs w:val="18"/>
        </w:rPr>
        <w:t xml:space="preserve"> A. Intra-osseous access (EZIO®) for resuscitation: UK military combat experience. </w:t>
      </w:r>
      <w:r w:rsidRPr="006916A4">
        <w:rPr>
          <w:rFonts w:ascii="Verdana" w:hAnsi="Verdana"/>
          <w:i/>
          <w:iCs/>
          <w:sz w:val="18"/>
          <w:szCs w:val="18"/>
        </w:rPr>
        <w:t xml:space="preserve">JR Army Med Corps </w:t>
      </w:r>
      <w:r w:rsidRPr="006916A4">
        <w:rPr>
          <w:rFonts w:ascii="Verdana" w:hAnsi="Verdana"/>
          <w:sz w:val="18"/>
          <w:szCs w:val="18"/>
        </w:rPr>
        <w:t>2008</w:t>
      </w:r>
      <w:proofErr w:type="gramStart"/>
      <w:r w:rsidRPr="006916A4">
        <w:rPr>
          <w:rFonts w:ascii="Verdana" w:hAnsi="Verdana"/>
          <w:sz w:val="18"/>
          <w:szCs w:val="18"/>
        </w:rPr>
        <w:t>;153</w:t>
      </w:r>
      <w:proofErr w:type="gramEnd"/>
      <w:r w:rsidRPr="006916A4">
        <w:rPr>
          <w:rFonts w:ascii="Verdana" w:hAnsi="Verdana"/>
          <w:sz w:val="18"/>
          <w:szCs w:val="18"/>
        </w:rPr>
        <w:t>(4):314-6.</w:t>
      </w:r>
    </w:p>
    <w:p w14:paraId="1E996D8F" w14:textId="77777777" w:rsidR="00884A48" w:rsidRPr="00EB54E5" w:rsidRDefault="00884A48" w:rsidP="00884A48">
      <w:pPr>
        <w:pStyle w:val="Default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EB54E5">
        <w:rPr>
          <w:rFonts w:ascii="Verdana" w:hAnsi="Verdana"/>
          <w:sz w:val="18"/>
          <w:szCs w:val="18"/>
        </w:rPr>
        <w:t>Hixson R. Intraosseous administration of preservative-free lidocaine. http://www.vidacare.com/files/Hixson-Lidocaine-%20032012.pdf. Accessed November 22, 2013.</w:t>
      </w:r>
    </w:p>
    <w:p w14:paraId="7F0CD984" w14:textId="77777777" w:rsidR="00884A48" w:rsidRDefault="00884A48" w:rsidP="00884A48">
      <w:pPr>
        <w:pStyle w:val="Default"/>
        <w:ind w:left="-432"/>
        <w:rPr>
          <w:rFonts w:ascii="Verdana" w:hAnsi="Verdana"/>
          <w:i/>
          <w:iCs/>
          <w:sz w:val="18"/>
          <w:szCs w:val="18"/>
        </w:rPr>
      </w:pPr>
    </w:p>
    <w:p w14:paraId="2B01A39A" w14:textId="77777777" w:rsidR="00884A48" w:rsidRPr="006916A4" w:rsidRDefault="00884A48" w:rsidP="00884A48">
      <w:pPr>
        <w:pStyle w:val="Default"/>
        <w:ind w:left="-432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*Research sponsored by Vidacare Corporation</w:t>
      </w:r>
    </w:p>
    <w:p w14:paraId="4CBDDC5E" w14:textId="4A987557" w:rsidR="0035563B" w:rsidRPr="00884A48" w:rsidRDefault="00884A48" w:rsidP="00884A48">
      <w:pPr>
        <w:pStyle w:val="Default"/>
        <w:ind w:left="-432"/>
        <w:rPr>
          <w:rFonts w:ascii="Verdana" w:hAnsi="Verdana"/>
          <w:i/>
          <w:iCs/>
          <w:sz w:val="18"/>
          <w:szCs w:val="18"/>
        </w:rPr>
      </w:pPr>
      <w:r w:rsidRPr="006916A4">
        <w:rPr>
          <w:rFonts w:ascii="Verdana" w:hAnsi="Verdana"/>
          <w:i/>
          <w:iCs/>
          <w:sz w:val="18"/>
          <w:szCs w:val="18"/>
        </w:rPr>
        <w:t xml:space="preserve">Vidacare disclaims all liability for the use, application or interpretation of this </w:t>
      </w:r>
      <w:r>
        <w:rPr>
          <w:rFonts w:ascii="Verdana" w:hAnsi="Verdana"/>
          <w:i/>
          <w:iCs/>
          <w:sz w:val="18"/>
          <w:szCs w:val="18"/>
        </w:rPr>
        <w:t>i</w:t>
      </w:r>
      <w:r w:rsidRPr="006916A4">
        <w:rPr>
          <w:rFonts w:ascii="Verdana" w:hAnsi="Verdana"/>
          <w:i/>
          <w:iCs/>
          <w:sz w:val="18"/>
          <w:szCs w:val="18"/>
        </w:rPr>
        <w:t>nformation</w:t>
      </w:r>
      <w:r>
        <w:rPr>
          <w:rFonts w:ascii="Verdana" w:hAnsi="Verdana"/>
          <w:i/>
          <w:iCs/>
          <w:sz w:val="18"/>
          <w:szCs w:val="18"/>
        </w:rPr>
        <w:t xml:space="preserve"> </w:t>
      </w:r>
      <w:r w:rsidRPr="006916A4">
        <w:rPr>
          <w:rFonts w:ascii="Verdana" w:hAnsi="Verdana"/>
          <w:i/>
          <w:iCs/>
          <w:sz w:val="18"/>
          <w:szCs w:val="18"/>
        </w:rPr>
        <w:t>in the medical treatment of any patient</w:t>
      </w:r>
      <w:r w:rsidRPr="006916A4">
        <w:rPr>
          <w:rFonts w:ascii="Verdana" w:hAnsi="Verdana"/>
          <w:color w:val="1F487C"/>
          <w:sz w:val="18"/>
          <w:szCs w:val="18"/>
        </w:rPr>
        <w:t>.</w:t>
      </w:r>
    </w:p>
    <w:sectPr w:rsidR="0035563B" w:rsidRPr="00884A48" w:rsidSect="00941CC0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400EB" w14:textId="77777777" w:rsidR="00C93F1E" w:rsidRDefault="00C93F1E" w:rsidP="00AB35BE">
      <w:pPr>
        <w:spacing w:after="0" w:line="240" w:lineRule="auto"/>
      </w:pPr>
      <w:r>
        <w:separator/>
      </w:r>
    </w:p>
  </w:endnote>
  <w:endnote w:type="continuationSeparator" w:id="0">
    <w:p w14:paraId="7C0A4F3F" w14:textId="77777777" w:rsidR="00C93F1E" w:rsidRDefault="00C93F1E" w:rsidP="00AB3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01A92" w14:textId="2DDA883E" w:rsidR="00AB35BE" w:rsidRDefault="00EF5BBE">
    <w:pPr>
      <w:pStyle w:val="Footer"/>
    </w:pPr>
    <w:r>
      <w:t>T-538 RevA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8C774" w14:textId="77777777" w:rsidR="00C93F1E" w:rsidRDefault="00C93F1E" w:rsidP="00AB35BE">
      <w:pPr>
        <w:spacing w:after="0" w:line="240" w:lineRule="auto"/>
      </w:pPr>
      <w:r>
        <w:separator/>
      </w:r>
    </w:p>
  </w:footnote>
  <w:footnote w:type="continuationSeparator" w:id="0">
    <w:p w14:paraId="7FBEFDA5" w14:textId="77777777" w:rsidR="00C93F1E" w:rsidRDefault="00C93F1E" w:rsidP="00AB3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2D064" w14:textId="33D21044" w:rsidR="00AB35BE" w:rsidRDefault="00AB35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224B0D"/>
    <w:multiLevelType w:val="hybridMultilevel"/>
    <w:tmpl w:val="FEB61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BB5039"/>
    <w:multiLevelType w:val="hybridMultilevel"/>
    <w:tmpl w:val="D9064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44CE3"/>
    <w:multiLevelType w:val="hybridMultilevel"/>
    <w:tmpl w:val="E44CEA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897C6D"/>
    <w:multiLevelType w:val="hybridMultilevel"/>
    <w:tmpl w:val="4D1EFF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026112"/>
    <w:multiLevelType w:val="hybridMultilevel"/>
    <w:tmpl w:val="613C91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170521B"/>
    <w:multiLevelType w:val="hybridMultilevel"/>
    <w:tmpl w:val="3C40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D477F4"/>
    <w:multiLevelType w:val="hybridMultilevel"/>
    <w:tmpl w:val="C14050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F50"/>
    <w:rsid w:val="000404A9"/>
    <w:rsid w:val="000C4700"/>
    <w:rsid w:val="000E3450"/>
    <w:rsid w:val="000F56CD"/>
    <w:rsid w:val="001574CF"/>
    <w:rsid w:val="0016464B"/>
    <w:rsid w:val="001A0655"/>
    <w:rsid w:val="001C31F9"/>
    <w:rsid w:val="001F1E9F"/>
    <w:rsid w:val="002130F8"/>
    <w:rsid w:val="002C731B"/>
    <w:rsid w:val="00326673"/>
    <w:rsid w:val="00342523"/>
    <w:rsid w:val="0035563B"/>
    <w:rsid w:val="00386678"/>
    <w:rsid w:val="003F2E9F"/>
    <w:rsid w:val="003F33A0"/>
    <w:rsid w:val="004377FC"/>
    <w:rsid w:val="00490A4A"/>
    <w:rsid w:val="00520588"/>
    <w:rsid w:val="005336F5"/>
    <w:rsid w:val="00586EE3"/>
    <w:rsid w:val="005956E4"/>
    <w:rsid w:val="0059633E"/>
    <w:rsid w:val="00636F60"/>
    <w:rsid w:val="006924A3"/>
    <w:rsid w:val="00727704"/>
    <w:rsid w:val="00730145"/>
    <w:rsid w:val="00731C27"/>
    <w:rsid w:val="00756860"/>
    <w:rsid w:val="007F05DF"/>
    <w:rsid w:val="00884A48"/>
    <w:rsid w:val="00891C27"/>
    <w:rsid w:val="009145FF"/>
    <w:rsid w:val="00941CC0"/>
    <w:rsid w:val="009A0349"/>
    <w:rsid w:val="009A7184"/>
    <w:rsid w:val="00A02713"/>
    <w:rsid w:val="00A50F50"/>
    <w:rsid w:val="00A61601"/>
    <w:rsid w:val="00A72BE1"/>
    <w:rsid w:val="00A778CE"/>
    <w:rsid w:val="00AB2EA1"/>
    <w:rsid w:val="00AB35BE"/>
    <w:rsid w:val="00AC2CED"/>
    <w:rsid w:val="00B817DB"/>
    <w:rsid w:val="00B94C30"/>
    <w:rsid w:val="00C67113"/>
    <w:rsid w:val="00C93F1E"/>
    <w:rsid w:val="00CF3D3F"/>
    <w:rsid w:val="00CF7E5C"/>
    <w:rsid w:val="00D81C4D"/>
    <w:rsid w:val="00DA33C4"/>
    <w:rsid w:val="00DC2323"/>
    <w:rsid w:val="00DD70BA"/>
    <w:rsid w:val="00DE1DEC"/>
    <w:rsid w:val="00E216E0"/>
    <w:rsid w:val="00E41B6B"/>
    <w:rsid w:val="00EA3D98"/>
    <w:rsid w:val="00EE66B4"/>
    <w:rsid w:val="00EF5BBE"/>
    <w:rsid w:val="00F01BF5"/>
    <w:rsid w:val="00F57C35"/>
    <w:rsid w:val="00F63843"/>
    <w:rsid w:val="00FA2D1F"/>
    <w:rsid w:val="00FE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CDDC1B"/>
  <w15:docId w15:val="{E6351A2C-13F0-496B-97EB-9AB4A199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6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35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5BE"/>
  </w:style>
  <w:style w:type="paragraph" w:styleId="Footer">
    <w:name w:val="footer"/>
    <w:basedOn w:val="Normal"/>
    <w:link w:val="FooterChar"/>
    <w:uiPriority w:val="99"/>
    <w:unhideWhenUsed/>
    <w:rsid w:val="00AB35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5BE"/>
  </w:style>
  <w:style w:type="paragraph" w:customStyle="1" w:styleId="Default">
    <w:name w:val="Default"/>
    <w:basedOn w:val="Normal"/>
    <w:rsid w:val="00884A48"/>
    <w:pPr>
      <w:autoSpaceDE w:val="0"/>
      <w:autoSpaceDN w:val="0"/>
      <w:spacing w:after="0" w:line="240" w:lineRule="auto"/>
    </w:pPr>
    <w:rPr>
      <w:rFonts w:ascii="Cambria" w:hAnsi="Cambria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ZPain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13-10-18T14:31:34.992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37602-682B-4036-882B-F97311FC9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Hust</dc:creator>
  <cp:keywords/>
  <dc:description/>
  <cp:lastModifiedBy>Karen Hust</cp:lastModifiedBy>
  <cp:revision>7</cp:revision>
  <dcterms:created xsi:type="dcterms:W3CDTF">2013-12-03T18:04:00Z</dcterms:created>
  <dcterms:modified xsi:type="dcterms:W3CDTF">2013-12-05T16:45:00Z</dcterms:modified>
</cp:coreProperties>
</file>